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A1" w:rsidRPr="00510066" w:rsidRDefault="00CD0ED0">
      <w:pPr>
        <w:rPr>
          <w:rFonts w:ascii="Comic Sans MS" w:hAnsi="Comic Sans MS"/>
          <w:b/>
        </w:rPr>
      </w:pPr>
      <w:bookmarkStart w:id="0" w:name="_GoBack"/>
      <w:bookmarkEnd w:id="0"/>
      <w:r w:rsidRPr="00510066">
        <w:rPr>
          <w:rFonts w:ascii="Comic Sans MS" w:hAnsi="Comic Sans MS"/>
          <w:b/>
        </w:rPr>
        <w:t>Aggiornamento dell</w:t>
      </w:r>
      <w:r w:rsidR="00AB7213" w:rsidRPr="00510066">
        <w:rPr>
          <w:rFonts w:ascii="Comic Sans MS" w:hAnsi="Comic Sans MS"/>
          <w:b/>
        </w:rPr>
        <w:t>a</w:t>
      </w:r>
      <w:r w:rsidRPr="00510066">
        <w:rPr>
          <w:rFonts w:ascii="Comic Sans MS" w:hAnsi="Comic Sans MS"/>
          <w:b/>
        </w:rPr>
        <w:t xml:space="preserve"> Sezione An</w:t>
      </w:r>
      <w:r w:rsidR="00AB7213" w:rsidRPr="00510066">
        <w:rPr>
          <w:rFonts w:ascii="Comic Sans MS" w:hAnsi="Comic Sans MS"/>
          <w:b/>
        </w:rPr>
        <w:t xml:space="preserve">ticorruzione </w:t>
      </w:r>
      <w:r w:rsidR="009910E6" w:rsidRPr="00510066">
        <w:rPr>
          <w:rFonts w:ascii="Comic Sans MS" w:hAnsi="Comic Sans MS"/>
          <w:b/>
        </w:rPr>
        <w:t xml:space="preserve">e Trasparenza </w:t>
      </w:r>
      <w:r w:rsidR="00AB7213" w:rsidRPr="00510066">
        <w:rPr>
          <w:rFonts w:ascii="Comic Sans MS" w:hAnsi="Comic Sans MS"/>
          <w:b/>
        </w:rPr>
        <w:t>del P</w:t>
      </w:r>
      <w:r w:rsidR="009910E6" w:rsidRPr="00510066">
        <w:rPr>
          <w:rFonts w:ascii="Comic Sans MS" w:hAnsi="Comic Sans MS"/>
          <w:b/>
        </w:rPr>
        <w:t xml:space="preserve">iano integrato di Attività ed Organizzazione (PIAO) </w:t>
      </w:r>
      <w:r w:rsidR="00AB7213" w:rsidRPr="00510066">
        <w:rPr>
          <w:rFonts w:ascii="Comic Sans MS" w:hAnsi="Comic Sans MS"/>
          <w:b/>
        </w:rPr>
        <w:t>202</w:t>
      </w:r>
      <w:r w:rsidR="0034551A">
        <w:rPr>
          <w:rFonts w:ascii="Comic Sans MS" w:hAnsi="Comic Sans MS"/>
          <w:b/>
        </w:rPr>
        <w:t>4</w:t>
      </w:r>
      <w:r w:rsidR="00AB7213" w:rsidRPr="00510066">
        <w:rPr>
          <w:rFonts w:ascii="Comic Sans MS" w:hAnsi="Comic Sans MS"/>
          <w:b/>
        </w:rPr>
        <w:t>-202</w:t>
      </w:r>
      <w:r w:rsidR="0034551A">
        <w:rPr>
          <w:rFonts w:ascii="Comic Sans MS" w:hAnsi="Comic Sans MS"/>
          <w:b/>
        </w:rPr>
        <w:t>6</w:t>
      </w:r>
      <w:r w:rsidR="00AB7213" w:rsidRPr="00510066">
        <w:rPr>
          <w:rFonts w:ascii="Comic Sans MS" w:hAnsi="Comic Sans MS"/>
          <w:b/>
        </w:rPr>
        <w:t xml:space="preserve"> dell’Azienda Ospedalier</w:t>
      </w:r>
      <w:r w:rsidR="0034551A">
        <w:rPr>
          <w:rFonts w:ascii="Comic Sans MS" w:hAnsi="Comic Sans MS"/>
          <w:b/>
        </w:rPr>
        <w:t>o Universitaria “</w:t>
      </w:r>
      <w:proofErr w:type="spellStart"/>
      <w:r w:rsidR="0034551A">
        <w:rPr>
          <w:rFonts w:ascii="Comic Sans MS" w:hAnsi="Comic Sans MS"/>
          <w:b/>
        </w:rPr>
        <w:t>R.Dulbecco</w:t>
      </w:r>
      <w:proofErr w:type="spellEnd"/>
      <w:r w:rsidR="0034551A">
        <w:rPr>
          <w:rFonts w:ascii="Comic Sans MS" w:hAnsi="Comic Sans MS"/>
          <w:b/>
        </w:rPr>
        <w:t>”</w:t>
      </w:r>
      <w:r w:rsidR="00AB7213" w:rsidRPr="00510066">
        <w:rPr>
          <w:rFonts w:ascii="Comic Sans MS" w:hAnsi="Comic Sans MS"/>
          <w:b/>
        </w:rPr>
        <w:t xml:space="preserve"> : consultazione preventiva</w:t>
      </w:r>
      <w:r w:rsidR="00EC7FEE">
        <w:rPr>
          <w:rFonts w:ascii="Comic Sans MS" w:hAnsi="Comic Sans MS"/>
          <w:b/>
        </w:rPr>
        <w:t>.</w:t>
      </w:r>
    </w:p>
    <w:p w:rsidR="003F0B8F" w:rsidRDefault="003F0B8F" w:rsidP="00EC7FEE">
      <w:pPr>
        <w:jc w:val="both"/>
        <w:rPr>
          <w:rFonts w:ascii="Comic Sans MS" w:hAnsi="Comic Sans MS" w:cstheme="minorHAnsi"/>
        </w:rPr>
      </w:pPr>
    </w:p>
    <w:p w:rsidR="004F2813" w:rsidRPr="00EC7FEE" w:rsidRDefault="004F2813" w:rsidP="00EC7FEE">
      <w:pPr>
        <w:jc w:val="both"/>
        <w:rPr>
          <w:rFonts w:ascii="Comic Sans MS" w:hAnsi="Comic Sans MS" w:cstheme="minorHAnsi"/>
        </w:rPr>
      </w:pPr>
      <w:r w:rsidRPr="00EC7FEE">
        <w:rPr>
          <w:rFonts w:ascii="Comic Sans MS" w:hAnsi="Comic Sans MS" w:cstheme="minorHAnsi"/>
        </w:rPr>
        <w:t xml:space="preserve">E’ aperta la consultazione pubblica </w:t>
      </w:r>
      <w:r w:rsidR="00E8054C">
        <w:rPr>
          <w:rFonts w:ascii="Comic Sans MS" w:hAnsi="Comic Sans MS" w:cstheme="minorHAnsi"/>
          <w:b/>
        </w:rPr>
        <w:t xml:space="preserve">sull’Aggiornamento 2023 della sezione 2 “Valore Pubblico, performance e anticorruzione” dell’approvando </w:t>
      </w:r>
      <w:r w:rsidR="00E8054C" w:rsidRPr="00E8054C">
        <w:rPr>
          <w:rFonts w:ascii="Comic Sans MS" w:hAnsi="Comic Sans MS" w:cstheme="minorHAnsi"/>
          <w:b/>
        </w:rPr>
        <w:t xml:space="preserve">Piano Integrato di attività e organizzazione, PIAO </w:t>
      </w:r>
      <w:r w:rsidRPr="00EC7FEE">
        <w:rPr>
          <w:rFonts w:ascii="Comic Sans MS" w:hAnsi="Comic Sans MS" w:cstheme="minorHAnsi"/>
          <w:b/>
        </w:rPr>
        <w:t>2022</w:t>
      </w:r>
      <w:r w:rsidRPr="00EC7FEE">
        <w:rPr>
          <w:rFonts w:ascii="Comic Sans MS" w:hAnsi="Comic Sans MS" w:cstheme="minorHAnsi"/>
        </w:rPr>
        <w:t xml:space="preserve"> predisposto dall’ex Azienda Ospedaliera Universitaria Mater Domini e dall’ex Azienda Ospedaliera Pugliese - Ciaccio, ora Azienda Ospedaliero Universitaria “R. Dulbecco”.</w:t>
      </w:r>
    </w:p>
    <w:p w:rsidR="004F2813" w:rsidRPr="00EC7FEE" w:rsidRDefault="004F2813" w:rsidP="00EC7FEE">
      <w:pPr>
        <w:jc w:val="both"/>
        <w:rPr>
          <w:rFonts w:ascii="Comic Sans MS" w:hAnsi="Comic Sans MS" w:cstheme="minorHAnsi"/>
        </w:rPr>
      </w:pPr>
      <w:r w:rsidRPr="00EC7FEE">
        <w:rPr>
          <w:rFonts w:ascii="Comic Sans MS" w:hAnsi="Comic Sans MS" w:cstheme="minorHAnsi"/>
        </w:rPr>
        <w:t xml:space="preserve">Sarà possibile inviare le proprie osservazioni esclusivamente al seguente indirizzo </w:t>
      </w:r>
      <w:hyperlink r:id="rId6" w:history="1">
        <w:r w:rsidRPr="00EC7FEE">
          <w:rPr>
            <w:rFonts w:ascii="Comic Sans MS" w:hAnsi="Comic Sans MS"/>
            <w:b/>
            <w:bCs/>
          </w:rPr>
          <w:t>anticorruzione@aocz.it</w:t>
        </w:r>
      </w:hyperlink>
      <w:r w:rsidRPr="00EC7FEE">
        <w:rPr>
          <w:rFonts w:ascii="Comic Sans MS" w:hAnsi="Comic Sans MS"/>
          <w:b/>
          <w:bCs/>
        </w:rPr>
        <w:t xml:space="preserve"> entro il 19/1/2024 </w:t>
      </w:r>
    </w:p>
    <w:p w:rsidR="00510066" w:rsidRPr="00EC7FEE" w:rsidRDefault="00336DB5" w:rsidP="00EC7FEE">
      <w:pPr>
        <w:jc w:val="both"/>
        <w:rPr>
          <w:rFonts w:ascii="Comic Sans MS" w:hAnsi="Comic Sans MS" w:cstheme="minorHAnsi"/>
        </w:rPr>
      </w:pPr>
      <w:r w:rsidRPr="00EC7FEE">
        <w:rPr>
          <w:rFonts w:ascii="Comic Sans MS" w:hAnsi="Comic Sans MS" w:cstheme="minorHAnsi"/>
        </w:rPr>
        <w:t>L’azienda Ospedalier</w:t>
      </w:r>
      <w:r w:rsidR="0034551A" w:rsidRPr="00EC7FEE">
        <w:rPr>
          <w:rFonts w:ascii="Comic Sans MS" w:hAnsi="Comic Sans MS" w:cstheme="minorHAnsi"/>
        </w:rPr>
        <w:t>o Universitaria “R. Dulbecco”</w:t>
      </w:r>
    </w:p>
    <w:p w:rsidR="00510066" w:rsidRPr="00EC7FEE" w:rsidRDefault="00A23AAE" w:rsidP="00510066">
      <w:pPr>
        <w:pStyle w:val="NormaleWeb"/>
        <w:shd w:val="clear" w:color="auto" w:fill="FFFFFF"/>
        <w:spacing w:before="0" w:beforeAutospacing="0" w:after="0" w:afterAutospacing="0" w:line="300" w:lineRule="atLeast"/>
        <w:jc w:val="center"/>
        <w:rPr>
          <w:rFonts w:ascii="Comic Sans MS" w:eastAsiaTheme="minorHAnsi" w:hAnsi="Comic Sans MS" w:cstheme="minorHAnsi"/>
          <w:sz w:val="22"/>
          <w:szCs w:val="22"/>
          <w:lang w:eastAsia="en-US"/>
        </w:rPr>
      </w:pPr>
      <w:r w:rsidRPr="00EC7FEE">
        <w:rPr>
          <w:rFonts w:ascii="Comic Sans MS" w:eastAsiaTheme="minorHAnsi" w:hAnsi="Comic Sans MS" w:cstheme="minorHAnsi"/>
          <w:sz w:val="22"/>
          <w:szCs w:val="22"/>
          <w:lang w:eastAsia="en-US"/>
        </w:rPr>
        <w:t xml:space="preserve"> </w:t>
      </w:r>
      <w:r w:rsidR="00510066" w:rsidRPr="00EC7FEE">
        <w:rPr>
          <w:rFonts w:eastAsiaTheme="minorHAnsi"/>
          <w:b/>
          <w:bCs/>
          <w:lang w:eastAsia="en-US"/>
        </w:rPr>
        <w:t>INVITA</w:t>
      </w:r>
    </w:p>
    <w:p w:rsidR="003F0B8F" w:rsidRDefault="003F0B8F" w:rsidP="00EC7FEE">
      <w:pPr>
        <w:jc w:val="both"/>
        <w:rPr>
          <w:b/>
          <w:bCs/>
        </w:rPr>
      </w:pPr>
    </w:p>
    <w:p w:rsidR="009E0A00" w:rsidRDefault="00EC7FEE" w:rsidP="00EC7FEE">
      <w:pPr>
        <w:jc w:val="both"/>
        <w:rPr>
          <w:b/>
          <w:bCs/>
        </w:rPr>
      </w:pPr>
      <w:r w:rsidRPr="00EC7FEE">
        <w:rPr>
          <w:b/>
          <w:bCs/>
        </w:rPr>
        <w:t xml:space="preserve">Gli stakeholder e </w:t>
      </w:r>
      <w:r w:rsidR="00A23AAE" w:rsidRPr="00510066">
        <w:rPr>
          <w:rFonts w:ascii="Comic Sans MS" w:hAnsi="Comic Sans MS" w:cstheme="minorHAnsi"/>
        </w:rPr>
        <w:t>t</w:t>
      </w:r>
      <w:r w:rsidR="00336DB5" w:rsidRPr="00510066">
        <w:rPr>
          <w:rFonts w:ascii="Comic Sans MS" w:hAnsi="Comic Sans MS" w:cstheme="minorHAnsi"/>
        </w:rPr>
        <w:t xml:space="preserve">utti coloro che ne abbiano interesse, in particolare i cittadini, le associazioni dei consumatori, altre realtà che operano sul territorio rappresentative di interessi particolari, </w:t>
      </w:r>
      <w:r w:rsidR="00510066" w:rsidRPr="00EC7FEE">
        <w:rPr>
          <w:rFonts w:ascii="Comic Sans MS" w:hAnsi="Comic Sans MS" w:cstheme="minorHAnsi"/>
        </w:rPr>
        <w:t>far pervenire </w:t>
      </w:r>
      <w:r w:rsidR="00510066" w:rsidRPr="00EC7FEE">
        <w:rPr>
          <w:b/>
          <w:bCs/>
        </w:rPr>
        <w:t>entro il 1</w:t>
      </w:r>
      <w:r w:rsidRPr="00EC7FEE">
        <w:rPr>
          <w:b/>
          <w:bCs/>
        </w:rPr>
        <w:t>9</w:t>
      </w:r>
      <w:r w:rsidR="00510066" w:rsidRPr="00EC7FEE">
        <w:rPr>
          <w:b/>
          <w:bCs/>
        </w:rPr>
        <w:t xml:space="preserve"> gennaio 202</w:t>
      </w:r>
      <w:r w:rsidR="0034551A" w:rsidRPr="00EC7FEE">
        <w:rPr>
          <w:b/>
          <w:bCs/>
        </w:rPr>
        <w:t>4</w:t>
      </w:r>
      <w:r w:rsidR="00510066" w:rsidRPr="00EC7FEE">
        <w:rPr>
          <w:b/>
          <w:bCs/>
        </w:rPr>
        <w:t xml:space="preserve"> ore 12,00</w:t>
      </w:r>
      <w:r w:rsidR="00510066" w:rsidRPr="00EC7FEE">
        <w:rPr>
          <w:rFonts w:ascii="Comic Sans MS" w:hAnsi="Comic Sans MS" w:cstheme="minorHAnsi"/>
          <w:b/>
        </w:rPr>
        <w:t>,</w:t>
      </w:r>
      <w:r w:rsidR="00510066" w:rsidRPr="00EC7FEE">
        <w:rPr>
          <w:rFonts w:ascii="Comic Sans MS" w:hAnsi="Comic Sans MS" w:cstheme="minorHAnsi"/>
        </w:rPr>
        <w:t xml:space="preserve"> eventuali osservazioni e/o suggerimenti </w:t>
      </w:r>
      <w:r w:rsidRPr="00EC7FEE">
        <w:rPr>
          <w:rFonts w:ascii="Comic Sans MS" w:hAnsi="Comic Sans MS" w:cstheme="minorHAnsi"/>
        </w:rPr>
        <w:t xml:space="preserve">sul documento posto in consultazione </w:t>
      </w:r>
      <w:r w:rsidR="00510066" w:rsidRPr="00EC7FEE">
        <w:rPr>
          <w:rFonts w:ascii="Comic Sans MS" w:hAnsi="Comic Sans MS" w:cstheme="minorHAnsi"/>
        </w:rPr>
        <w:t>nella</w:t>
      </w:r>
      <w:r w:rsidR="00510066" w:rsidRPr="00EC7FEE">
        <w:rPr>
          <w:b/>
          <w:bCs/>
        </w:rPr>
        <w:t> </w:t>
      </w:r>
      <w:r w:rsidR="00510066" w:rsidRPr="00EC7FEE">
        <w:rPr>
          <w:rFonts w:ascii="Comic Sans MS" w:hAnsi="Comic Sans MS" w:cstheme="minorHAnsi"/>
        </w:rPr>
        <w:t>pagina dedicata raggiungibile da</w:t>
      </w:r>
      <w:r w:rsidR="009E0A00">
        <w:rPr>
          <w:rFonts w:ascii="Comic Sans MS" w:hAnsi="Comic Sans MS" w:cstheme="minorHAnsi"/>
        </w:rPr>
        <w:t>i</w:t>
      </w:r>
      <w:r w:rsidR="00510066" w:rsidRPr="00EC7FEE">
        <w:rPr>
          <w:rFonts w:ascii="Comic Sans MS" w:hAnsi="Comic Sans MS" w:cstheme="minorHAnsi"/>
        </w:rPr>
        <w:t xml:space="preserve"> seguent</w:t>
      </w:r>
      <w:r w:rsidR="009E0A00">
        <w:rPr>
          <w:rFonts w:ascii="Comic Sans MS" w:hAnsi="Comic Sans MS" w:cstheme="minorHAnsi"/>
        </w:rPr>
        <w:t>i</w:t>
      </w:r>
      <w:r w:rsidR="00510066" w:rsidRPr="00EC7FEE">
        <w:rPr>
          <w:rFonts w:ascii="Comic Sans MS" w:hAnsi="Comic Sans MS" w:cstheme="minorHAnsi"/>
        </w:rPr>
        <w:t xml:space="preserve"> link:</w:t>
      </w:r>
      <w:r w:rsidR="00510066" w:rsidRPr="00EC7FEE">
        <w:rPr>
          <w:b/>
          <w:bCs/>
        </w:rPr>
        <w:t> </w:t>
      </w:r>
    </w:p>
    <w:p w:rsidR="00510066" w:rsidRDefault="00B2340F" w:rsidP="009E0A00">
      <w:pPr>
        <w:pStyle w:val="Paragrafoelenco"/>
        <w:numPr>
          <w:ilvl w:val="0"/>
          <w:numId w:val="2"/>
        </w:numPr>
        <w:jc w:val="both"/>
        <w:rPr>
          <w:rFonts w:ascii="Comic Sans MS" w:hAnsi="Comic Sans MS" w:cstheme="minorHAnsi"/>
        </w:rPr>
      </w:pPr>
      <w:hyperlink r:id="rId7" w:history="1">
        <w:r w:rsidR="00510066" w:rsidRPr="009E0A00">
          <w:rPr>
            <w:rStyle w:val="Collegamentoipertestuale"/>
          </w:rPr>
          <w:t>https://www.aocz.it/trasparenza/amministrazione-trasparente</w:t>
        </w:r>
      </w:hyperlink>
      <w:r w:rsidR="00510066" w:rsidRPr="009E0A00">
        <w:rPr>
          <w:rFonts w:ascii="Comic Sans MS" w:hAnsi="Comic Sans MS" w:cstheme="minorHAnsi"/>
        </w:rPr>
        <w:t> - sezione “Altri contenuti – Prevenzione della Corruzione” – sotto-sezione “Piano Triennale p</w:t>
      </w:r>
      <w:r w:rsidR="009E0A00">
        <w:rPr>
          <w:rFonts w:ascii="Comic Sans MS" w:hAnsi="Comic Sans MS" w:cstheme="minorHAnsi"/>
        </w:rPr>
        <w:t>er la Prevenzione e Corruzione”;</w:t>
      </w:r>
    </w:p>
    <w:p w:rsidR="009E0A00" w:rsidRDefault="00B2340F" w:rsidP="009E0A00">
      <w:pPr>
        <w:pStyle w:val="Paragrafoelenco"/>
        <w:numPr>
          <w:ilvl w:val="0"/>
          <w:numId w:val="2"/>
        </w:numPr>
        <w:jc w:val="both"/>
        <w:rPr>
          <w:rFonts w:ascii="Comic Sans MS" w:hAnsi="Comic Sans MS" w:cstheme="minorHAnsi"/>
        </w:rPr>
      </w:pPr>
      <w:hyperlink r:id="rId8" w:history="1">
        <w:r w:rsidR="009E0A00" w:rsidRPr="00454413">
          <w:rPr>
            <w:rStyle w:val="Collegamentoipertestuale"/>
          </w:rPr>
          <w:t>https://www.materdominiaou.it/trasparenza/amministrazione-trasparente</w:t>
        </w:r>
      </w:hyperlink>
      <w:r w:rsidR="009E0A00" w:rsidRPr="009E0A00">
        <w:rPr>
          <w:rFonts w:ascii="Comic Sans MS" w:hAnsi="Comic Sans MS" w:cstheme="minorHAnsi"/>
        </w:rPr>
        <w:t> - sezione “Altri contenuti – Prevenzione della Corruzione” – sotto-sezione “Piano Triennale p</w:t>
      </w:r>
      <w:r w:rsidR="009E0A00">
        <w:rPr>
          <w:rFonts w:ascii="Comic Sans MS" w:hAnsi="Comic Sans MS" w:cstheme="minorHAnsi"/>
        </w:rPr>
        <w:t>er la Prevenzione e Corruzione”;</w:t>
      </w:r>
    </w:p>
    <w:p w:rsidR="009E0A00" w:rsidRPr="009E0A00" w:rsidRDefault="009E0A00" w:rsidP="009E0A00">
      <w:pPr>
        <w:pStyle w:val="Paragrafoelenco"/>
        <w:jc w:val="both"/>
        <w:rPr>
          <w:rFonts w:ascii="Comic Sans MS" w:hAnsi="Comic Sans MS" w:cstheme="minorHAnsi"/>
        </w:rPr>
      </w:pPr>
    </w:p>
    <w:p w:rsidR="00EC7FEE" w:rsidRPr="00EC7FEE" w:rsidRDefault="00EC7FEE" w:rsidP="0063668B">
      <w:pPr>
        <w:pStyle w:val="NormaleWeb"/>
        <w:shd w:val="clear" w:color="auto" w:fill="FFFFFF"/>
        <w:spacing w:before="0" w:beforeAutospacing="0" w:after="0" w:afterAutospacing="0" w:line="315" w:lineRule="atLeast"/>
        <w:jc w:val="both"/>
        <w:rPr>
          <w:rFonts w:ascii="Comic Sans MS" w:eastAsiaTheme="minorHAnsi" w:hAnsi="Comic Sans MS" w:cstheme="minorHAnsi"/>
          <w:sz w:val="22"/>
          <w:szCs w:val="22"/>
          <w:lang w:eastAsia="en-US"/>
        </w:rPr>
      </w:pPr>
      <w:r w:rsidRPr="00EC7FEE">
        <w:rPr>
          <w:rFonts w:ascii="Comic Sans MS" w:eastAsiaTheme="minorHAnsi" w:hAnsi="Comic Sans MS" w:cstheme="minorHAnsi"/>
          <w:sz w:val="22"/>
          <w:szCs w:val="22"/>
          <w:lang w:eastAsia="en-US"/>
        </w:rPr>
        <w:t>I contributi pervenuti con modalità diverse da quella indicata non potranno essere tenuti in considerazione.</w:t>
      </w:r>
    </w:p>
    <w:p w:rsidR="00510066" w:rsidRPr="00510066" w:rsidRDefault="00510066" w:rsidP="00510066">
      <w:pPr>
        <w:pStyle w:val="Normale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777777"/>
        </w:rPr>
      </w:pPr>
      <w:r w:rsidRPr="00510066">
        <w:rPr>
          <w:rFonts w:asciiTheme="minorHAnsi" w:hAnsiTheme="minorHAnsi" w:cstheme="minorHAnsi"/>
          <w:color w:val="777777"/>
        </w:rPr>
        <w:t> </w:t>
      </w:r>
    </w:p>
    <w:p w:rsidR="00510066" w:rsidRPr="00510066" w:rsidRDefault="00510066" w:rsidP="00510066">
      <w:pPr>
        <w:pStyle w:val="NormaleWeb"/>
        <w:shd w:val="clear" w:color="auto" w:fill="FFFFFF"/>
        <w:spacing w:before="0" w:beforeAutospacing="0" w:after="0" w:afterAutospacing="0" w:line="315" w:lineRule="atLeast"/>
        <w:jc w:val="right"/>
        <w:rPr>
          <w:rStyle w:val="Enfasigrassetto"/>
          <w:rFonts w:asciiTheme="minorHAnsi" w:hAnsiTheme="minorHAnsi" w:cstheme="minorHAnsi"/>
          <w:i/>
          <w:iCs/>
          <w:color w:val="1F497D"/>
        </w:rPr>
      </w:pPr>
    </w:p>
    <w:p w:rsidR="00510066" w:rsidRDefault="00510066" w:rsidP="00510066">
      <w:pPr>
        <w:pStyle w:val="NormaleWeb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777777"/>
          <w:sz w:val="21"/>
          <w:szCs w:val="21"/>
        </w:rPr>
      </w:pPr>
      <w:r>
        <w:rPr>
          <w:rStyle w:val="Enfasigrassetto"/>
          <w:rFonts w:ascii="Arial" w:hAnsi="Arial" w:cs="Arial"/>
          <w:i/>
          <w:iCs/>
          <w:color w:val="1F497D"/>
          <w:sz w:val="20"/>
          <w:szCs w:val="20"/>
        </w:rPr>
        <w:t>I Responsabil</w:t>
      </w:r>
      <w:r w:rsidR="00EC7FEE">
        <w:rPr>
          <w:rStyle w:val="Enfasigrassetto"/>
          <w:rFonts w:ascii="Arial" w:hAnsi="Arial" w:cs="Arial"/>
          <w:i/>
          <w:iCs/>
          <w:color w:val="1F497D"/>
          <w:sz w:val="20"/>
          <w:szCs w:val="20"/>
        </w:rPr>
        <w:t>i</w:t>
      </w:r>
      <w:r>
        <w:rPr>
          <w:rStyle w:val="Enfasicorsivo"/>
          <w:rFonts w:ascii="Arial" w:hAnsi="Arial" w:cs="Arial"/>
          <w:color w:val="777777"/>
          <w:sz w:val="21"/>
          <w:szCs w:val="21"/>
        </w:rPr>
        <w:t> </w:t>
      </w:r>
      <w:r>
        <w:rPr>
          <w:rStyle w:val="Enfasigrassetto"/>
          <w:rFonts w:ascii="Arial" w:hAnsi="Arial" w:cs="Arial"/>
          <w:i/>
          <w:iCs/>
          <w:color w:val="1F497D"/>
          <w:sz w:val="20"/>
          <w:szCs w:val="20"/>
        </w:rPr>
        <w:t>della Prevenzione</w:t>
      </w:r>
    </w:p>
    <w:p w:rsidR="00510066" w:rsidRDefault="00510066" w:rsidP="00510066">
      <w:pPr>
        <w:pStyle w:val="NormaleWeb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777777"/>
          <w:sz w:val="21"/>
          <w:szCs w:val="21"/>
        </w:rPr>
      </w:pPr>
      <w:r>
        <w:rPr>
          <w:rStyle w:val="Enfasigrassetto"/>
          <w:rFonts w:ascii="Arial" w:hAnsi="Arial" w:cs="Arial"/>
          <w:i/>
          <w:iCs/>
          <w:color w:val="1F497D"/>
          <w:sz w:val="20"/>
          <w:szCs w:val="20"/>
        </w:rPr>
        <w:t>della Corruzione</w:t>
      </w:r>
      <w:r>
        <w:rPr>
          <w:rStyle w:val="Enfasicorsivo"/>
          <w:rFonts w:ascii="Arial" w:hAnsi="Arial" w:cs="Arial"/>
          <w:color w:val="777777"/>
          <w:sz w:val="21"/>
          <w:szCs w:val="21"/>
        </w:rPr>
        <w:t> </w:t>
      </w:r>
      <w:r>
        <w:rPr>
          <w:rStyle w:val="Enfasigrassetto"/>
          <w:rFonts w:ascii="Arial" w:hAnsi="Arial" w:cs="Arial"/>
          <w:i/>
          <w:iCs/>
          <w:color w:val="1F497D"/>
          <w:sz w:val="20"/>
          <w:szCs w:val="20"/>
        </w:rPr>
        <w:t>e della Trasparenza</w:t>
      </w:r>
      <w:r>
        <w:rPr>
          <w:rStyle w:val="Enfasigrassetto"/>
          <w:rFonts w:ascii="Arial" w:hAnsi="Arial" w:cs="Arial"/>
          <w:i/>
          <w:iCs/>
          <w:color w:val="1F497D"/>
          <w:sz w:val="21"/>
          <w:szCs w:val="21"/>
        </w:rPr>
        <w:t> </w:t>
      </w:r>
    </w:p>
    <w:p w:rsidR="00A23AAE" w:rsidRPr="00A23AAE" w:rsidRDefault="00A23AAE" w:rsidP="00A23AAE">
      <w:pPr>
        <w:pStyle w:val="Paragrafoelenco"/>
        <w:rPr>
          <w:rStyle w:val="Enfasigrassetto"/>
          <w:rFonts w:ascii="Arial" w:hAnsi="Arial" w:cs="Arial"/>
          <w:color w:val="777777"/>
          <w:sz w:val="20"/>
          <w:szCs w:val="20"/>
          <w:shd w:val="clear" w:color="auto" w:fill="FFFFFF"/>
        </w:rPr>
      </w:pPr>
    </w:p>
    <w:sectPr w:rsidR="00A23AAE" w:rsidRPr="00A23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DDE"/>
    <w:multiLevelType w:val="hybridMultilevel"/>
    <w:tmpl w:val="3F621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510A3"/>
    <w:multiLevelType w:val="hybridMultilevel"/>
    <w:tmpl w:val="FCB2C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0F"/>
    <w:rsid w:val="001E26CB"/>
    <w:rsid w:val="002854A1"/>
    <w:rsid w:val="002E07F9"/>
    <w:rsid w:val="00336DB5"/>
    <w:rsid w:val="0034551A"/>
    <w:rsid w:val="00391A0F"/>
    <w:rsid w:val="003F0B8F"/>
    <w:rsid w:val="004F2813"/>
    <w:rsid w:val="00510066"/>
    <w:rsid w:val="005A4673"/>
    <w:rsid w:val="0063668B"/>
    <w:rsid w:val="008C68DF"/>
    <w:rsid w:val="009910E6"/>
    <w:rsid w:val="009E0A00"/>
    <w:rsid w:val="00A23AAE"/>
    <w:rsid w:val="00AB7213"/>
    <w:rsid w:val="00B149FC"/>
    <w:rsid w:val="00B2340F"/>
    <w:rsid w:val="00CD0ED0"/>
    <w:rsid w:val="00E8054C"/>
    <w:rsid w:val="00EC7FEE"/>
    <w:rsid w:val="00F4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910E6"/>
    <w:rPr>
      <w:b/>
      <w:bCs/>
    </w:rPr>
  </w:style>
  <w:style w:type="paragraph" w:styleId="Paragrafoelenco">
    <w:name w:val="List Paragraph"/>
    <w:basedOn w:val="Normale"/>
    <w:uiPriority w:val="34"/>
    <w:qFormat/>
    <w:rsid w:val="00A23AA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1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1006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100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910E6"/>
    <w:rPr>
      <w:b/>
      <w:bCs/>
    </w:rPr>
  </w:style>
  <w:style w:type="paragraph" w:styleId="Paragrafoelenco">
    <w:name w:val="List Paragraph"/>
    <w:basedOn w:val="Normale"/>
    <w:uiPriority w:val="34"/>
    <w:qFormat/>
    <w:rsid w:val="00A23AA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1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1006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10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erdominiaou.it/trasparenza/amministrazione-trasparen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ocz.it/trasparenza/amministrazione-trasparen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corruzione@aocz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Ferraro</dc:creator>
  <cp:lastModifiedBy>Caterina Ferraro</cp:lastModifiedBy>
  <cp:revision>2</cp:revision>
  <dcterms:created xsi:type="dcterms:W3CDTF">2024-01-08T13:11:00Z</dcterms:created>
  <dcterms:modified xsi:type="dcterms:W3CDTF">2024-01-08T13:11:00Z</dcterms:modified>
</cp:coreProperties>
</file>